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6EABE" w14:textId="77777777" w:rsidR="004753AB" w:rsidRDefault="004753AB" w:rsidP="004753AB">
      <w:pPr>
        <w:pStyle w:val="Bibliographie1"/>
        <w:spacing w:line="276" w:lineRule="auto"/>
      </w:pPr>
      <w:bookmarkStart w:id="0" w:name="_GoBack"/>
      <w:r w:rsidRPr="004753AB">
        <w:t xml:space="preserve">Beauchemin, J., &amp; Fahmy-Eid, N. (2013). </w:t>
      </w:r>
      <w:r w:rsidRPr="004753AB">
        <w:rPr>
          <w:i/>
          <w:iCs/>
        </w:rPr>
        <w:t>Pour le renforcement de l’enseignement de l’histoire nationale au primaire et au secondaire »</w:t>
      </w:r>
      <w:r w:rsidRPr="004753AB">
        <w:t>. Ministère de l’éducation, du loisir et du sport.</w:t>
      </w:r>
    </w:p>
    <w:p w14:paraId="14B834B9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Bédard, R. (2014). Réforme des programmes d’histoire : Position de la SPHQ, </w:t>
      </w:r>
      <w:r w:rsidRPr="00C33664">
        <w:rPr>
          <w:i/>
          <w:iCs/>
        </w:rPr>
        <w:t>52</w:t>
      </w:r>
      <w:r>
        <w:t>(1).</w:t>
      </w:r>
    </w:p>
    <w:p w14:paraId="79CB4B6F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Carr, D. (2008). 1. Narrative Explanation and Its Malcontents. </w:t>
      </w:r>
      <w:r w:rsidRPr="00C33664">
        <w:rPr>
          <w:i/>
          <w:iCs/>
        </w:rPr>
        <w:t>History and Theory</w:t>
      </w:r>
      <w:r w:rsidRPr="00C33664">
        <w:t xml:space="preserve">, </w:t>
      </w:r>
      <w:r w:rsidRPr="00C33664">
        <w:rPr>
          <w:i/>
          <w:iCs/>
        </w:rPr>
        <w:t>47</w:t>
      </w:r>
      <w:r w:rsidRPr="00C33664">
        <w:t xml:space="preserve">(1), 19–30. </w:t>
      </w:r>
    </w:p>
    <w:p w14:paraId="0719E44D" w14:textId="77777777" w:rsidR="00417743" w:rsidRPr="00417743" w:rsidRDefault="00417743" w:rsidP="00417743">
      <w:pPr>
        <w:pStyle w:val="Bibliographie1"/>
        <w:spacing w:line="276" w:lineRule="auto"/>
        <w:rPr>
          <w:lang w:val="fr-CA"/>
        </w:rPr>
      </w:pPr>
      <w:r w:rsidRPr="00417743">
        <w:rPr>
          <w:lang w:val="fr-CA"/>
        </w:rPr>
        <w:t xml:space="preserve">Éthier, M.-A. (2006). Analyse comparative des activité et contenus des ouvrages scolaires québécois d’histoire générale relatifs aux causes de l’évolution démocratique. </w:t>
      </w:r>
      <w:r w:rsidRPr="00417743">
        <w:rPr>
          <w:i/>
          <w:iCs/>
          <w:lang w:val="fr-CA"/>
        </w:rPr>
        <w:t>Canadian Journal of Education</w:t>
      </w:r>
      <w:r w:rsidRPr="00417743">
        <w:rPr>
          <w:lang w:val="fr-CA"/>
        </w:rPr>
        <w:t xml:space="preserve">, </w:t>
      </w:r>
      <w:r w:rsidRPr="00417743">
        <w:rPr>
          <w:i/>
          <w:iCs/>
          <w:lang w:val="fr-CA"/>
        </w:rPr>
        <w:t>29</w:t>
      </w:r>
      <w:r w:rsidRPr="00417743">
        <w:rPr>
          <w:lang w:val="fr-CA"/>
        </w:rPr>
        <w:t>(3), 650–683.</w:t>
      </w:r>
    </w:p>
    <w:p w14:paraId="075824EF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Éthier, M.-A. (2013). Compte-rendu de la position de l’AQDHG à propos de la consultation pour le renforcement de l’enseignement de l’histoire nationale au primaire et au secondaire. </w:t>
      </w:r>
    </w:p>
    <w:p w14:paraId="5B8D98D3" w14:textId="77777777" w:rsidR="00417743" w:rsidRPr="00453882" w:rsidRDefault="00417743" w:rsidP="00417743">
      <w:pPr>
        <w:pStyle w:val="Bibliographie1"/>
        <w:tabs>
          <w:tab w:val="left" w:pos="1080"/>
        </w:tabs>
        <w:spacing w:line="276" w:lineRule="auto"/>
        <w:rPr>
          <w:lang w:val="fr-CA"/>
        </w:rPr>
      </w:pPr>
      <w:r w:rsidRPr="00453882">
        <w:rPr>
          <w:lang w:val="fr-CA"/>
        </w:rPr>
        <w:t xml:space="preserve">Lavallée, J. (2012). </w:t>
      </w:r>
      <w:r w:rsidRPr="00453882">
        <w:rPr>
          <w:i/>
          <w:iCs/>
          <w:lang w:val="fr-CA"/>
        </w:rPr>
        <w:t>Une histoire javellisée au service du présent</w:t>
      </w:r>
      <w:r>
        <w:rPr>
          <w:lang w:val="fr-CA"/>
        </w:rPr>
        <w:t xml:space="preserve"> (Enquête), 72p</w:t>
      </w:r>
      <w:r w:rsidRPr="00453882">
        <w:rPr>
          <w:lang w:val="fr-CA"/>
        </w:rPr>
        <w:t>. Québec: Coalition pour l’histoire.</w:t>
      </w:r>
    </w:p>
    <w:p w14:paraId="622CB2BD" w14:textId="77777777" w:rsidR="00417743" w:rsidRPr="00453882" w:rsidRDefault="00417743" w:rsidP="00417743">
      <w:pPr>
        <w:pStyle w:val="Bibliographie1"/>
        <w:spacing w:line="276" w:lineRule="auto"/>
      </w:pPr>
      <w:r w:rsidRPr="00C33664">
        <w:t xml:space="preserve">Lefrançois, D. (2013). </w:t>
      </w:r>
      <w:r w:rsidRPr="00453882">
        <w:t xml:space="preserve">Avis concernant la consultation sur l’enseignement de l’histoire nationale. </w:t>
      </w:r>
    </w:p>
    <w:p w14:paraId="67D1DF90" w14:textId="77777777" w:rsidR="00417743" w:rsidRPr="00453882" w:rsidRDefault="00417743" w:rsidP="00417743">
      <w:pPr>
        <w:pStyle w:val="Bibliographie1"/>
        <w:spacing w:line="276" w:lineRule="auto"/>
        <w:rPr>
          <w:i/>
        </w:rPr>
      </w:pPr>
      <w:r w:rsidRPr="00453882">
        <w:t xml:space="preserve">Létourneau, J. (2014). </w:t>
      </w:r>
      <w:r w:rsidRPr="00453882">
        <w:rPr>
          <w:bCs/>
        </w:rPr>
        <w:t>Histoire au secondaire: le travail des lobbys a rapporté...</w:t>
      </w:r>
      <w:r>
        <w:rPr>
          <w:bCs/>
        </w:rPr>
        <w:t xml:space="preserve"> </w:t>
      </w:r>
      <w:r>
        <w:rPr>
          <w:bCs/>
          <w:i/>
        </w:rPr>
        <w:t xml:space="preserve">Le Devoir, </w:t>
      </w:r>
      <w:r w:rsidRPr="00453882">
        <w:rPr>
          <w:bCs/>
        </w:rPr>
        <w:t>édition du 6 mars repéré à</w:t>
      </w:r>
      <w:r>
        <w:rPr>
          <w:bCs/>
          <w:i/>
        </w:rPr>
        <w:t xml:space="preserve"> </w:t>
      </w:r>
      <w:r w:rsidRPr="00453882">
        <w:rPr>
          <w:bCs/>
        </w:rPr>
        <w:t>http://www.ledevoir.com/societe/education/401772/histoire-au-secondaire-le-travail-des-lobbys-a-rapporte</w:t>
      </w:r>
    </w:p>
    <w:p w14:paraId="797A8E85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Monte-Sano, C. (2011). Beyond Reading Comprehension and Summary: Learning to Read and Write in History by Focusing on Evidence, Perspective, and Interpretation. </w:t>
      </w:r>
      <w:r w:rsidRPr="00C33664">
        <w:rPr>
          <w:i/>
          <w:iCs/>
        </w:rPr>
        <w:t>Curriculum Inquiry</w:t>
      </w:r>
      <w:r w:rsidRPr="00C33664">
        <w:t xml:space="preserve">, </w:t>
      </w:r>
      <w:r w:rsidRPr="00C33664">
        <w:rPr>
          <w:i/>
          <w:iCs/>
        </w:rPr>
        <w:t>41</w:t>
      </w:r>
      <w:r>
        <w:t>(2), 212–249.</w:t>
      </w:r>
    </w:p>
    <w:p w14:paraId="6DBA8424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Monte-Sano, C., &amp; De La Paz, S. (2012). Using Writing Tasks to Elicit Adolescents’ Historical Reasoning. </w:t>
      </w:r>
      <w:r w:rsidRPr="00C33664">
        <w:rPr>
          <w:i/>
          <w:iCs/>
        </w:rPr>
        <w:t>Journal of Literacy Research</w:t>
      </w:r>
      <w:r w:rsidRPr="00C33664">
        <w:t xml:space="preserve">, </w:t>
      </w:r>
      <w:r w:rsidRPr="00C33664">
        <w:rPr>
          <w:i/>
          <w:iCs/>
        </w:rPr>
        <w:t>44</w:t>
      </w:r>
      <w:r w:rsidRPr="00C33664">
        <w:t>(3), 273–299.</w:t>
      </w:r>
    </w:p>
    <w:p w14:paraId="276C54C9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Nokes, J. D., Dole, J. A., &amp; Hacker, D. J. (2007). Teaching high school students to use heuristics while reading historical texts. </w:t>
      </w:r>
      <w:r w:rsidRPr="00C33664">
        <w:rPr>
          <w:i/>
          <w:iCs/>
        </w:rPr>
        <w:t>Journal of Educational Psychology</w:t>
      </w:r>
      <w:r w:rsidRPr="00C33664">
        <w:t xml:space="preserve">, </w:t>
      </w:r>
      <w:r w:rsidRPr="00C33664">
        <w:rPr>
          <w:i/>
          <w:iCs/>
        </w:rPr>
        <w:t>99</w:t>
      </w:r>
      <w:r>
        <w:t>(3), 492–504.</w:t>
      </w:r>
    </w:p>
    <w:p w14:paraId="01FD78AB" w14:textId="77777777" w:rsidR="00417743" w:rsidRDefault="00417743" w:rsidP="00417743">
      <w:pPr>
        <w:pStyle w:val="Bibliographie1"/>
        <w:spacing w:line="276" w:lineRule="auto"/>
      </w:pPr>
      <w:r>
        <w:t xml:space="preserve">Peck, C. (2014). </w:t>
      </w:r>
      <w:r w:rsidRPr="00453882">
        <w:t>Historical Thinking and Teacher Professional Development: The Poor Cousin of Curriculum Reform</w:t>
      </w:r>
      <w:r>
        <w:t xml:space="preserve">. Repéré à </w:t>
      </w:r>
      <w:r w:rsidRPr="00453882">
        <w:t>http://activehistory.ca/2014/03/historical-thinking-and-teacher-professional-development-the-poor-cousin-of-curriculum-reform/</w:t>
      </w:r>
    </w:p>
    <w:p w14:paraId="740ADCD5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Reisman, A. (2012). Reading Like a Historian: A Document-Based History Curriculum Intervention in Urban High Schools. </w:t>
      </w:r>
      <w:r w:rsidRPr="00C33664">
        <w:rPr>
          <w:i/>
          <w:iCs/>
        </w:rPr>
        <w:t>Cognition and Instruction</w:t>
      </w:r>
      <w:r w:rsidRPr="00C33664">
        <w:t xml:space="preserve">, </w:t>
      </w:r>
      <w:r w:rsidRPr="00C33664">
        <w:rPr>
          <w:i/>
          <w:iCs/>
        </w:rPr>
        <w:t>30</w:t>
      </w:r>
      <w:r>
        <w:t>(1), 86–112.</w:t>
      </w:r>
    </w:p>
    <w:p w14:paraId="5FC6D7BB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Stan, C.-A. (2013). L’élève, entre sujet historique et citoyen : deux facettes de l’apprentissage de l’histoire. </w:t>
      </w:r>
      <w:r>
        <w:t>Repéré à</w:t>
      </w:r>
      <w:r w:rsidRPr="00C33664">
        <w:t xml:space="preserve"> http://histoireengagee.ca/wp-content/uploads/2013/12/STAN-Catinca-Adriana.-L%E2%80%99%C3%A9l%C3%A8ve-entre-sujet....pdf</w:t>
      </w:r>
    </w:p>
    <w:p w14:paraId="6A4F178B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VanSledright, B. A., &amp; Kelly, C. (1998). Reading American history: The influence of multiple sources on six fifth graders. </w:t>
      </w:r>
      <w:r w:rsidRPr="00C33664">
        <w:rPr>
          <w:i/>
          <w:iCs/>
        </w:rPr>
        <w:t>The Elementary School Journal</w:t>
      </w:r>
      <w:r w:rsidRPr="00C33664">
        <w:t>, 239–265.</w:t>
      </w:r>
    </w:p>
    <w:p w14:paraId="77471DF0" w14:textId="77777777" w:rsidR="00417743" w:rsidRPr="00C33664" w:rsidRDefault="00417743" w:rsidP="00417743">
      <w:pPr>
        <w:pStyle w:val="Bibliographie1"/>
        <w:spacing w:line="276" w:lineRule="auto"/>
      </w:pPr>
      <w:r w:rsidRPr="00C33664">
        <w:t xml:space="preserve">Yelle, F., Joly-Lavoie, A., &amp; Poyet, J. (2013). Histoire et citoyenneté: Présent, passé, avenir. </w:t>
      </w:r>
      <w:r>
        <w:t>Repéré à</w:t>
      </w:r>
      <w:r w:rsidRPr="00C33664">
        <w:t xml:space="preserve"> http://histoireengagee.ca/wp-content/uploads/2013/12/YELLE-Fr%C3%A9d%C3%A9ric-Alexandre-JOLY-LAVOIE-et-Julia-POYET.-Histoire-et-citoyennet%C3%A9....pdf</w:t>
      </w:r>
    </w:p>
    <w:p w14:paraId="7E547659" w14:textId="77777777" w:rsidR="00417743" w:rsidRPr="00826745" w:rsidRDefault="00417743" w:rsidP="00417743">
      <w:pPr>
        <w:tabs>
          <w:tab w:val="right" w:pos="940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94D1F69" w14:textId="77777777" w:rsidR="00CD4272" w:rsidRDefault="00CD4272"/>
    <w:bookmarkEnd w:id="0"/>
    <w:sectPr w:rsidR="00CD4272" w:rsidSect="0072661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5796" w14:textId="77777777" w:rsidR="00000000" w:rsidRDefault="004753AB">
      <w:r>
        <w:separator/>
      </w:r>
    </w:p>
  </w:endnote>
  <w:endnote w:type="continuationSeparator" w:id="0">
    <w:p w14:paraId="71CC077B" w14:textId="77777777" w:rsidR="00000000" w:rsidRDefault="004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AA1FC" w14:textId="77777777" w:rsidR="00000000" w:rsidRDefault="004753AB">
      <w:r>
        <w:separator/>
      </w:r>
    </w:p>
  </w:footnote>
  <w:footnote w:type="continuationSeparator" w:id="0">
    <w:p w14:paraId="5ADB5AFC" w14:textId="77777777" w:rsidR="00000000" w:rsidRDefault="004753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5DB3F" w14:textId="77777777" w:rsidR="00DD3EE0" w:rsidRPr="00C11C9F" w:rsidRDefault="00417743" w:rsidP="00C11C9F">
    <w:pPr>
      <w:rPr>
        <w:rFonts w:ascii="Times New Roman" w:hAnsi="Times New Roman" w:cs="Times New Roman"/>
        <w:b/>
      </w:rPr>
    </w:pPr>
    <w:r w:rsidRPr="00C11C9F">
      <w:rPr>
        <w:rFonts w:ascii="Times New Roman" w:hAnsi="Times New Roman" w:cs="Times New Roman"/>
        <w:b/>
      </w:rPr>
      <w:t>Ce qui sous-tend à aux débats sur l’enseignement de l’histoire au Québec</w:t>
    </w:r>
  </w:p>
  <w:p w14:paraId="7A18EC88" w14:textId="77777777" w:rsidR="00DD3EE0" w:rsidRDefault="004753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3"/>
    <w:rsid w:val="00417743"/>
    <w:rsid w:val="004753AB"/>
    <w:rsid w:val="0072661C"/>
    <w:rsid w:val="00C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17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4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7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743"/>
  </w:style>
  <w:style w:type="paragraph" w:customStyle="1" w:styleId="Bibliographie1">
    <w:name w:val="Bibliographie1"/>
    <w:basedOn w:val="Normal"/>
    <w:rsid w:val="00417743"/>
    <w:pPr>
      <w:tabs>
        <w:tab w:val="right" w:pos="9406"/>
      </w:tabs>
      <w:spacing w:line="480" w:lineRule="auto"/>
      <w:ind w:left="720" w:hanging="72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4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7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743"/>
  </w:style>
  <w:style w:type="paragraph" w:customStyle="1" w:styleId="Bibliographie1">
    <w:name w:val="Bibliographie1"/>
    <w:basedOn w:val="Normal"/>
    <w:rsid w:val="00417743"/>
    <w:pPr>
      <w:tabs>
        <w:tab w:val="right" w:pos="9406"/>
      </w:tabs>
      <w:spacing w:line="480" w:lineRule="auto"/>
      <w:ind w:left="720" w:hanging="72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2382</Characters>
  <Application>Microsoft Macintosh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Yelle</dc:creator>
  <cp:keywords/>
  <dc:description/>
  <cp:lastModifiedBy>Frédéric Yelle</cp:lastModifiedBy>
  <cp:revision>2</cp:revision>
  <dcterms:created xsi:type="dcterms:W3CDTF">2014-04-11T18:06:00Z</dcterms:created>
  <dcterms:modified xsi:type="dcterms:W3CDTF">2014-04-14T14:19:00Z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zotero-version="4.0.19"&gt;&lt;session id="Ij6HxbNJ"/&gt;&lt;style id="http://www.zotero.org/styles/apa" hasBibliography="1" bibliographyStyleHasBeenSet="0"/&gt;&lt;prefs&gt;&lt;pref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